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55" w:rsidRDefault="004F4FC2"/>
    <w:p w:rsidR="005C2077" w:rsidRDefault="005C2077" w:rsidP="00027E4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Tisztelt Beszállítónk</w:t>
      </w:r>
    </w:p>
    <w:p w:rsidR="005C2077" w:rsidRDefault="005C2077" w:rsidP="00027E41">
      <w:pPr>
        <w:spacing w:after="0"/>
        <w:jc w:val="center"/>
        <w:rPr>
          <w:b/>
          <w:sz w:val="32"/>
          <w:szCs w:val="32"/>
        </w:rPr>
      </w:pPr>
    </w:p>
    <w:p w:rsidR="004F2784" w:rsidRPr="00347424" w:rsidRDefault="005C2077" w:rsidP="002635C4">
      <w:pPr>
        <w:spacing w:after="0"/>
        <w:jc w:val="both"/>
        <w:rPr>
          <w:b/>
          <w:i/>
          <w:sz w:val="24"/>
          <w:szCs w:val="24"/>
          <w:u w:val="single"/>
        </w:rPr>
      </w:pPr>
      <w:r w:rsidRPr="00347424">
        <w:rPr>
          <w:b/>
          <w:i/>
          <w:sz w:val="24"/>
          <w:szCs w:val="24"/>
          <w:u w:val="single"/>
        </w:rPr>
        <w:t>Tájékoztatni szeretnénk arról, hogy</w:t>
      </w:r>
      <w:r w:rsidR="00C34966">
        <w:rPr>
          <w:b/>
          <w:i/>
          <w:sz w:val="24"/>
          <w:szCs w:val="24"/>
          <w:u w:val="single"/>
        </w:rPr>
        <w:t xml:space="preserve"> </w:t>
      </w:r>
      <w:r w:rsidR="00BF15E3">
        <w:rPr>
          <w:b/>
          <w:i/>
          <w:sz w:val="24"/>
          <w:szCs w:val="24"/>
          <w:u w:val="single"/>
        </w:rPr>
        <w:t>2015.04.</w:t>
      </w:r>
      <w:r w:rsidR="00C34966" w:rsidRPr="00C34966">
        <w:rPr>
          <w:b/>
          <w:i/>
          <w:sz w:val="24"/>
          <w:szCs w:val="24"/>
          <w:u w:val="single"/>
        </w:rPr>
        <w:t>1</w:t>
      </w:r>
      <w:r w:rsidR="00BF15E3">
        <w:rPr>
          <w:b/>
          <w:i/>
          <w:sz w:val="24"/>
          <w:szCs w:val="24"/>
          <w:u w:val="single"/>
        </w:rPr>
        <w:t>5</w:t>
      </w:r>
      <w:r w:rsidR="00C34966" w:rsidRPr="00C34966">
        <w:rPr>
          <w:b/>
          <w:i/>
          <w:sz w:val="24"/>
          <w:szCs w:val="24"/>
          <w:u w:val="single"/>
        </w:rPr>
        <w:t>-től</w:t>
      </w:r>
      <w:r w:rsidR="00C34966">
        <w:rPr>
          <w:b/>
          <w:i/>
          <w:sz w:val="24"/>
          <w:szCs w:val="24"/>
          <w:u w:val="single"/>
        </w:rPr>
        <w:t>:</w:t>
      </w:r>
      <w:r w:rsidRPr="00347424">
        <w:rPr>
          <w:b/>
          <w:i/>
          <w:sz w:val="24"/>
          <w:szCs w:val="24"/>
          <w:u w:val="single"/>
        </w:rPr>
        <w:t xml:space="preserve"> </w:t>
      </w:r>
    </w:p>
    <w:p w:rsidR="004F2784" w:rsidRPr="00BF15E3" w:rsidRDefault="00992D4D" w:rsidP="004F2784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F15E3">
        <w:rPr>
          <w:sz w:val="24"/>
          <w:szCs w:val="24"/>
        </w:rPr>
        <w:t xml:space="preserve">minden EBK kritikus tevékenység esetén </w:t>
      </w:r>
      <w:r w:rsidRPr="00BF15E3">
        <w:rPr>
          <w:b/>
          <w:sz w:val="24"/>
          <w:szCs w:val="24"/>
        </w:rPr>
        <w:t>Munkafolyamat veszélyelemzést (JSA)</w:t>
      </w:r>
      <w:r w:rsidRPr="00BF15E3">
        <w:rPr>
          <w:sz w:val="24"/>
          <w:szCs w:val="24"/>
        </w:rPr>
        <w:t xml:space="preserve"> kell készíteni</w:t>
      </w:r>
      <w:r w:rsidR="004F2784" w:rsidRPr="00BF15E3">
        <w:rPr>
          <w:sz w:val="24"/>
          <w:szCs w:val="24"/>
        </w:rPr>
        <w:t>,</w:t>
      </w:r>
      <w:r w:rsidRPr="00BF15E3">
        <w:rPr>
          <w:sz w:val="24"/>
          <w:szCs w:val="24"/>
        </w:rPr>
        <w:t xml:space="preserve"> melyet a munkaengedély igénylésekor az érintett engedély kiadónak be kell mutatni,</w:t>
      </w:r>
      <w:r w:rsidR="004F2784" w:rsidRPr="00BF15E3">
        <w:rPr>
          <w:sz w:val="24"/>
          <w:szCs w:val="24"/>
        </w:rPr>
        <w:t xml:space="preserve"> </w:t>
      </w:r>
    </w:p>
    <w:p w:rsidR="004F2784" w:rsidRPr="00BF15E3" w:rsidRDefault="00BF15E3" w:rsidP="004F2784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valamennyi</w:t>
      </w:r>
      <w:r w:rsidR="00C34966" w:rsidRPr="00BF15E3">
        <w:rPr>
          <w:sz w:val="24"/>
          <w:szCs w:val="24"/>
        </w:rPr>
        <w:t xml:space="preserve"> munkaengedély köteles tevékenység esetén a </w:t>
      </w:r>
      <w:r w:rsidR="00992D4D" w:rsidRPr="00BF15E3">
        <w:rPr>
          <w:sz w:val="24"/>
          <w:szCs w:val="24"/>
        </w:rPr>
        <w:t>tényleges területi munkavégzés előtt</w:t>
      </w:r>
      <w:r w:rsidR="00C34966" w:rsidRPr="00BF15E3">
        <w:rPr>
          <w:sz w:val="24"/>
          <w:szCs w:val="24"/>
        </w:rPr>
        <w:t>,</w:t>
      </w:r>
      <w:r w:rsidR="00992D4D" w:rsidRPr="00BF15E3">
        <w:rPr>
          <w:sz w:val="24"/>
          <w:szCs w:val="24"/>
        </w:rPr>
        <w:t xml:space="preserve"> de már a kiadott munkaengedély birtokában </w:t>
      </w:r>
      <w:r w:rsidR="00C34966" w:rsidRPr="00BF15E3">
        <w:rPr>
          <w:sz w:val="24"/>
          <w:szCs w:val="24"/>
        </w:rPr>
        <w:t>a munkát végző csapatnak egy egyszerű kockázatértékelést (</w:t>
      </w:r>
      <w:r w:rsidR="00C34966" w:rsidRPr="00BF15E3">
        <w:rPr>
          <w:b/>
          <w:sz w:val="24"/>
          <w:szCs w:val="24"/>
        </w:rPr>
        <w:t xml:space="preserve">munkavégzést közvetlenül megelőző kockázatértékelés – </w:t>
      </w:r>
      <w:r w:rsidR="00992D4D" w:rsidRPr="00BF15E3">
        <w:rPr>
          <w:b/>
          <w:sz w:val="24"/>
          <w:szCs w:val="24"/>
        </w:rPr>
        <w:t>LMRA</w:t>
      </w:r>
      <w:r w:rsidR="00C34966" w:rsidRPr="00BF15E3">
        <w:rPr>
          <w:sz w:val="24"/>
          <w:szCs w:val="24"/>
        </w:rPr>
        <w:t>) kell készítenie</w:t>
      </w:r>
      <w:r w:rsidR="004F2784" w:rsidRPr="00BF15E3">
        <w:rPr>
          <w:sz w:val="24"/>
          <w:szCs w:val="24"/>
        </w:rPr>
        <w:t>,</w:t>
      </w:r>
    </w:p>
    <w:p w:rsidR="006F1BB9" w:rsidRPr="00BF15E3" w:rsidRDefault="00C34966" w:rsidP="004F2784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F15E3">
        <w:rPr>
          <w:sz w:val="24"/>
          <w:szCs w:val="24"/>
        </w:rPr>
        <w:t xml:space="preserve">bevezetésre kerül a </w:t>
      </w:r>
      <w:r w:rsidR="00E730B1">
        <w:rPr>
          <w:b/>
          <w:sz w:val="24"/>
          <w:szCs w:val="24"/>
        </w:rPr>
        <w:t>STOP CARD</w:t>
      </w:r>
      <w:r w:rsidRPr="00BF15E3">
        <w:rPr>
          <w:sz w:val="24"/>
          <w:szCs w:val="24"/>
        </w:rPr>
        <w:t xml:space="preserve"> rendszer, mely lehetőséget biztosít minden munkavégző (MOL be</w:t>
      </w:r>
      <w:r w:rsidR="006F1BB9" w:rsidRPr="00BF15E3">
        <w:rPr>
          <w:sz w:val="24"/>
          <w:szCs w:val="24"/>
        </w:rPr>
        <w:t>szállítói) számára, hogy írott formában jelezze</w:t>
      </w:r>
      <w:r w:rsidR="00100B6E">
        <w:rPr>
          <w:sz w:val="24"/>
          <w:szCs w:val="24"/>
        </w:rPr>
        <w:t>,</w:t>
      </w:r>
      <w:r w:rsidR="006F1BB9" w:rsidRPr="00BF15E3">
        <w:rPr>
          <w:sz w:val="24"/>
          <w:szCs w:val="24"/>
        </w:rPr>
        <w:t xml:space="preserve"> ha nem biztonságos körülményt vagy cselekedeteket lát. </w:t>
      </w:r>
    </w:p>
    <w:p w:rsidR="00103146" w:rsidRDefault="00103146" w:rsidP="003B5021">
      <w:pPr>
        <w:spacing w:after="0"/>
      </w:pPr>
    </w:p>
    <w:p w:rsidR="00E17293" w:rsidRPr="0010717F" w:rsidRDefault="0010717F" w:rsidP="00E17293">
      <w:pPr>
        <w:spacing w:after="0"/>
        <w:jc w:val="both"/>
        <w:rPr>
          <w:b/>
          <w:i/>
          <w:sz w:val="24"/>
          <w:szCs w:val="24"/>
          <w:u w:val="single"/>
        </w:rPr>
      </w:pPr>
      <w:r w:rsidRPr="0010717F">
        <w:rPr>
          <w:b/>
          <w:i/>
          <w:sz w:val="24"/>
          <w:szCs w:val="24"/>
          <w:u w:val="single"/>
        </w:rPr>
        <w:t>Előzmények</w:t>
      </w:r>
      <w:r w:rsidR="00E17293" w:rsidRPr="0010717F">
        <w:rPr>
          <w:b/>
          <w:i/>
          <w:sz w:val="24"/>
          <w:szCs w:val="24"/>
          <w:u w:val="single"/>
        </w:rPr>
        <w:t>:</w:t>
      </w:r>
    </w:p>
    <w:p w:rsidR="00E17293" w:rsidRPr="00100B6E" w:rsidRDefault="00E17293" w:rsidP="00BD062E">
      <w:pPr>
        <w:widowControl w:val="0"/>
        <w:jc w:val="both"/>
        <w:rPr>
          <w:rFonts w:ascii="Calibri" w:hAnsi="Calibri"/>
          <w:sz w:val="24"/>
          <w:szCs w:val="24"/>
        </w:rPr>
      </w:pPr>
      <w:r w:rsidRPr="00100B6E">
        <w:rPr>
          <w:rFonts w:ascii="Calibri" w:hAnsi="Calibri"/>
          <w:sz w:val="24"/>
          <w:szCs w:val="24"/>
        </w:rPr>
        <w:t xml:space="preserve">A </w:t>
      </w:r>
      <w:proofErr w:type="spellStart"/>
      <w:r w:rsidRPr="00100B6E">
        <w:rPr>
          <w:rFonts w:ascii="Calibri" w:hAnsi="Calibri"/>
          <w:sz w:val="24"/>
          <w:szCs w:val="24"/>
        </w:rPr>
        <w:t>MOL-csoport</w:t>
      </w:r>
      <w:proofErr w:type="spellEnd"/>
      <w:r w:rsidRPr="00100B6E">
        <w:rPr>
          <w:rFonts w:ascii="Calibri" w:hAnsi="Calibri"/>
          <w:sz w:val="24"/>
          <w:szCs w:val="24"/>
        </w:rPr>
        <w:t xml:space="preserve"> működési területein sajnos még mindig előfordulnak súlyos, vagy halálos balesetek, melyek jövőbeni előfordulását csak közös összefogással tudjuk megakadályozni! Nem elég a vezetői példamutatás, vagy az előírások megléte, nagyon fontos a munkavállalók személyes elkötelezettsége is, ami nélkül nem érhetjük el célunkat, a balesetmentes üzemeltetést és karbantartást. </w:t>
      </w:r>
    </w:p>
    <w:p w:rsidR="00E17293" w:rsidRPr="00100B6E" w:rsidRDefault="00E17293" w:rsidP="00BD062E">
      <w:pPr>
        <w:widowControl w:val="0"/>
        <w:jc w:val="both"/>
        <w:rPr>
          <w:rFonts w:ascii="Calibri" w:hAnsi="Calibri"/>
          <w:sz w:val="24"/>
          <w:szCs w:val="24"/>
        </w:rPr>
      </w:pPr>
      <w:r w:rsidRPr="00100B6E">
        <w:rPr>
          <w:rFonts w:ascii="Calibri" w:hAnsi="Calibri"/>
          <w:sz w:val="24"/>
          <w:szCs w:val="24"/>
        </w:rPr>
        <w:t>A súlyos balesetek előfordulásának kiküszöbölése érdekében a tavalyi év elején tíz Életvédelmi Szabályt vezettünk be, melyek ne</w:t>
      </w:r>
      <w:r w:rsidR="00BD062E" w:rsidRPr="00100B6E">
        <w:rPr>
          <w:rFonts w:ascii="Calibri" w:hAnsi="Calibri"/>
          <w:sz w:val="24"/>
          <w:szCs w:val="24"/>
        </w:rPr>
        <w:t>m voltak ismeretlen előírások az Önök számára,</w:t>
      </w:r>
      <w:r w:rsidRPr="00100B6E">
        <w:rPr>
          <w:rFonts w:ascii="Calibri" w:hAnsi="Calibri"/>
          <w:sz w:val="24"/>
          <w:szCs w:val="24"/>
        </w:rPr>
        <w:t xml:space="preserve"> mind</w:t>
      </w:r>
      <w:r w:rsidR="00BD062E" w:rsidRPr="00100B6E">
        <w:rPr>
          <w:rFonts w:ascii="Calibri" w:hAnsi="Calibri"/>
          <w:sz w:val="24"/>
          <w:szCs w:val="24"/>
        </w:rPr>
        <w:t>en nap ezek betartásával végezték</w:t>
      </w:r>
      <w:r w:rsidRPr="00100B6E">
        <w:rPr>
          <w:rFonts w:ascii="Calibri" w:hAnsi="Calibri"/>
          <w:sz w:val="24"/>
          <w:szCs w:val="24"/>
        </w:rPr>
        <w:t xml:space="preserve"> és végzi</w:t>
      </w:r>
      <w:r w:rsidR="00BD062E" w:rsidRPr="00100B6E">
        <w:rPr>
          <w:rFonts w:ascii="Calibri" w:hAnsi="Calibri"/>
          <w:sz w:val="24"/>
          <w:szCs w:val="24"/>
        </w:rPr>
        <w:t>k most is a munkájuka</w:t>
      </w:r>
      <w:r w:rsidRPr="00100B6E">
        <w:rPr>
          <w:rFonts w:ascii="Calibri" w:hAnsi="Calibri"/>
          <w:sz w:val="24"/>
          <w:szCs w:val="24"/>
        </w:rPr>
        <w:t>t. Az említett 10 Életvédelmi Szabály egyértelműen megfogalmazza a legnagyobb kockázatú tevékenységekhez kapcsolódó teendőket és tilalmakat, amelyek valamennyi munkavállalóra nézve kötelező érvényűek. Az előírások egyszerűek, világosak és pontosan arra szolgálnak, amire a nevük utal: Életeket védenek.</w:t>
      </w:r>
    </w:p>
    <w:p w:rsidR="00E17293" w:rsidRPr="00100B6E" w:rsidRDefault="00E17293" w:rsidP="00E17293">
      <w:pPr>
        <w:widowControl w:val="0"/>
        <w:jc w:val="both"/>
        <w:rPr>
          <w:rFonts w:ascii="Calibri" w:hAnsi="Calibri"/>
          <w:sz w:val="24"/>
          <w:szCs w:val="24"/>
        </w:rPr>
      </w:pPr>
      <w:r w:rsidRPr="00100B6E">
        <w:rPr>
          <w:rFonts w:ascii="Calibri" w:hAnsi="Calibri"/>
          <w:sz w:val="24"/>
          <w:szCs w:val="24"/>
        </w:rPr>
        <w:t>Bár úgy gondoljuk, hogy jó úton indultunk el, hogy elérjük a kitűzött célunkat, nem szabad megállni vagy hátradőlni, újabb programok szükségesek, hogy ezen 10 szabály betartását és betartatását ösztönözzük. A múlt évben elindult Leesés védelmi (</w:t>
      </w:r>
      <w:proofErr w:type="spellStart"/>
      <w:r w:rsidRPr="00100B6E">
        <w:rPr>
          <w:rFonts w:ascii="Calibri" w:hAnsi="Calibri"/>
          <w:sz w:val="24"/>
          <w:szCs w:val="24"/>
        </w:rPr>
        <w:t>Fall</w:t>
      </w:r>
      <w:proofErr w:type="spellEnd"/>
      <w:r w:rsidRPr="00100B6E">
        <w:rPr>
          <w:rFonts w:ascii="Calibri" w:hAnsi="Calibri"/>
          <w:sz w:val="24"/>
          <w:szCs w:val="24"/>
        </w:rPr>
        <w:t xml:space="preserve"> </w:t>
      </w:r>
      <w:proofErr w:type="spellStart"/>
      <w:r w:rsidRPr="00100B6E">
        <w:rPr>
          <w:rFonts w:ascii="Calibri" w:hAnsi="Calibri"/>
          <w:sz w:val="24"/>
          <w:szCs w:val="24"/>
        </w:rPr>
        <w:t>protection</w:t>
      </w:r>
      <w:proofErr w:type="spellEnd"/>
      <w:r w:rsidRPr="00100B6E">
        <w:rPr>
          <w:rFonts w:ascii="Calibri" w:hAnsi="Calibri"/>
          <w:sz w:val="24"/>
          <w:szCs w:val="24"/>
        </w:rPr>
        <w:t>) és Kizárás-kitáblázás (</w:t>
      </w:r>
      <w:proofErr w:type="spellStart"/>
      <w:r w:rsidRPr="00100B6E">
        <w:rPr>
          <w:rFonts w:ascii="Calibri" w:hAnsi="Calibri"/>
          <w:bCs/>
          <w:sz w:val="24"/>
          <w:szCs w:val="24"/>
        </w:rPr>
        <w:t>L</w:t>
      </w:r>
      <w:r w:rsidRPr="00100B6E">
        <w:rPr>
          <w:rFonts w:ascii="Calibri" w:hAnsi="Calibri"/>
          <w:sz w:val="24"/>
          <w:szCs w:val="24"/>
        </w:rPr>
        <w:t>ock-</w:t>
      </w:r>
      <w:r w:rsidRPr="00100B6E">
        <w:rPr>
          <w:rFonts w:ascii="Calibri" w:hAnsi="Calibri"/>
          <w:bCs/>
          <w:sz w:val="24"/>
          <w:szCs w:val="24"/>
        </w:rPr>
        <w:t>o</w:t>
      </w:r>
      <w:r w:rsidRPr="00100B6E">
        <w:rPr>
          <w:rFonts w:ascii="Calibri" w:hAnsi="Calibri"/>
          <w:sz w:val="24"/>
          <w:szCs w:val="24"/>
        </w:rPr>
        <w:t>ut</w:t>
      </w:r>
      <w:proofErr w:type="spellEnd"/>
      <w:r w:rsidRPr="00100B6E">
        <w:rPr>
          <w:rFonts w:ascii="Calibri" w:hAnsi="Calibri"/>
          <w:sz w:val="24"/>
          <w:szCs w:val="24"/>
        </w:rPr>
        <w:t xml:space="preserve"> </w:t>
      </w:r>
      <w:r w:rsidRPr="00100B6E">
        <w:rPr>
          <w:rFonts w:ascii="Calibri" w:hAnsi="Calibri"/>
          <w:bCs/>
          <w:sz w:val="24"/>
          <w:szCs w:val="24"/>
        </w:rPr>
        <w:t>T</w:t>
      </w:r>
      <w:r w:rsidRPr="00100B6E">
        <w:rPr>
          <w:rFonts w:ascii="Calibri" w:hAnsi="Calibri"/>
          <w:sz w:val="24"/>
          <w:szCs w:val="24"/>
        </w:rPr>
        <w:t>ag-</w:t>
      </w:r>
      <w:r w:rsidRPr="00100B6E">
        <w:rPr>
          <w:rFonts w:ascii="Calibri" w:hAnsi="Calibri"/>
          <w:bCs/>
          <w:sz w:val="24"/>
          <w:szCs w:val="24"/>
        </w:rPr>
        <w:t>o</w:t>
      </w:r>
      <w:r w:rsidRPr="00100B6E">
        <w:rPr>
          <w:rFonts w:ascii="Calibri" w:hAnsi="Calibri"/>
          <w:sz w:val="24"/>
          <w:szCs w:val="24"/>
        </w:rPr>
        <w:t>ut) programunk mellett az idén további programokat indítunk az életvédelmi szabályok 1-1 pontjára, szabályára fókuszálva.</w:t>
      </w:r>
    </w:p>
    <w:p w:rsidR="0010717F" w:rsidRPr="00100B6E" w:rsidRDefault="0010717F" w:rsidP="00E17293">
      <w:pPr>
        <w:widowControl w:val="0"/>
        <w:jc w:val="both"/>
        <w:rPr>
          <w:rFonts w:ascii="Calibri" w:hAnsi="Calibri"/>
          <w:sz w:val="24"/>
          <w:szCs w:val="24"/>
        </w:rPr>
      </w:pPr>
      <w:r w:rsidRPr="00100B6E">
        <w:rPr>
          <w:rFonts w:ascii="Calibri" w:hAnsi="Calibri"/>
          <w:sz w:val="24"/>
          <w:szCs w:val="24"/>
        </w:rPr>
        <w:t>A 2015.04.15-én elinduló program 3 új elemet - Munkafolyamat veszélyelemzés (JSA), Munkavégzést közvetlenül megelőző kockázatértékelés (LMRA), Stop kártya (</w:t>
      </w:r>
      <w:r w:rsidR="00E730B1">
        <w:rPr>
          <w:rFonts w:ascii="Calibri" w:hAnsi="Calibri"/>
          <w:sz w:val="24"/>
          <w:szCs w:val="24"/>
        </w:rPr>
        <w:t>STOP CARD</w:t>
      </w:r>
      <w:r w:rsidRPr="00100B6E">
        <w:rPr>
          <w:rFonts w:ascii="Calibri" w:hAnsi="Calibri"/>
          <w:sz w:val="24"/>
          <w:szCs w:val="24"/>
        </w:rPr>
        <w:t xml:space="preserve">) - tartalmaz, melyekről részletesen az alábbiakban adunk tájékoztatást. A részletes oktatási anyag (PPT formátumban) valamint a nyomtatványok formátuma megtalálható a </w:t>
      </w:r>
      <w:hyperlink r:id="rId6" w:history="1">
        <w:r w:rsidR="004F4FC2" w:rsidRPr="00392ADE">
          <w:rPr>
            <w:rStyle w:val="Hiperhivatkozs"/>
          </w:rPr>
          <w:t>http://mol.hu/hu/molrol/beszallitoi-kozpont#jsa-lmra-stop-card-program</w:t>
        </w:r>
      </w:hyperlink>
      <w:r w:rsidR="004F4FC2">
        <w:t xml:space="preserve"> </w:t>
      </w:r>
      <w:r w:rsidRPr="00100B6E">
        <w:rPr>
          <w:rFonts w:ascii="Calibri" w:hAnsi="Calibri"/>
          <w:sz w:val="24"/>
          <w:szCs w:val="24"/>
        </w:rPr>
        <w:t xml:space="preserve">linken </w:t>
      </w:r>
      <w:r w:rsidR="00100B6E" w:rsidRPr="00100B6E">
        <w:rPr>
          <w:rFonts w:ascii="Calibri" w:hAnsi="Calibri"/>
          <w:sz w:val="24"/>
          <w:szCs w:val="24"/>
        </w:rPr>
        <w:t>is</w:t>
      </w:r>
      <w:r w:rsidRPr="00100B6E">
        <w:rPr>
          <w:rFonts w:ascii="Calibri" w:hAnsi="Calibri"/>
          <w:sz w:val="24"/>
          <w:szCs w:val="24"/>
        </w:rPr>
        <w:t>.</w:t>
      </w:r>
    </w:p>
    <w:p w:rsidR="00E17293" w:rsidRPr="0010717F" w:rsidRDefault="00E17293" w:rsidP="0010717F">
      <w:pPr>
        <w:spacing w:after="0"/>
        <w:jc w:val="both"/>
        <w:rPr>
          <w:b/>
          <w:i/>
          <w:sz w:val="24"/>
          <w:szCs w:val="24"/>
          <w:u w:val="single"/>
        </w:rPr>
      </w:pPr>
      <w:r w:rsidRPr="0010717F">
        <w:rPr>
          <w:b/>
          <w:i/>
          <w:sz w:val="24"/>
          <w:szCs w:val="24"/>
          <w:u w:val="single"/>
        </w:rPr>
        <w:lastRenderedPageBreak/>
        <w:t> </w:t>
      </w:r>
      <w:r w:rsidR="0010717F" w:rsidRPr="0010717F">
        <w:rPr>
          <w:b/>
          <w:i/>
          <w:sz w:val="24"/>
          <w:szCs w:val="24"/>
          <w:u w:val="single"/>
        </w:rPr>
        <w:t>Program elemeinek részletes leírása:</w:t>
      </w:r>
    </w:p>
    <w:p w:rsidR="00E17293" w:rsidRDefault="00E17293" w:rsidP="00E17293">
      <w:pPr>
        <w:spacing w:after="0"/>
        <w:jc w:val="both"/>
        <w:rPr>
          <w:b/>
          <w:i/>
          <w:u w:val="single"/>
        </w:rPr>
      </w:pPr>
    </w:p>
    <w:p w:rsidR="00100B6E" w:rsidRDefault="00100B6E" w:rsidP="00100B6E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Munkafolyamat veszélyelemzés (JSA): </w:t>
      </w:r>
      <w:r>
        <w:rPr>
          <w:rFonts w:ascii="Calibri" w:hAnsi="Calibri"/>
        </w:rPr>
        <w:t>ha csak a mindennapi működést nézzük, kollégáik naponta több száz technológiával és berendezésekkel kapcsolatos karbantartást végeznek. Sok ilyen folyamat veszélyes tevékenység függetlenül attól, hogy rutin vagy nem rutinszerű munkáról van szó.</w:t>
      </w:r>
    </w:p>
    <w:p w:rsidR="00100B6E" w:rsidRDefault="00DB3222" w:rsidP="00100B6E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D267229" wp14:editId="16F63449">
            <wp:simplePos x="0" y="0"/>
            <wp:positionH relativeFrom="column">
              <wp:posOffset>3177540</wp:posOffset>
            </wp:positionH>
            <wp:positionV relativeFrom="paragraph">
              <wp:posOffset>727710</wp:posOffset>
            </wp:positionV>
            <wp:extent cx="2609215" cy="2505075"/>
            <wp:effectExtent l="0" t="0" r="63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6E">
        <w:rPr>
          <w:rFonts w:ascii="Calibri" w:hAnsi="Calibri"/>
        </w:rPr>
        <w:t xml:space="preserve">A munkafolyamat veszélyelemzés olyan dokumentációs eszköz, amely gyorsan és hatékonyan végigköveti a tevékenységek folyamatlépéseit, azonosítja a kapcsolódó veszélyeket és használatával eldönthető, hogy megfelelőek és elegendőek </w:t>
      </w:r>
      <w:proofErr w:type="gramStart"/>
      <w:r w:rsidR="00100B6E">
        <w:rPr>
          <w:rFonts w:ascii="Calibri" w:hAnsi="Calibri"/>
        </w:rPr>
        <w:t>e</w:t>
      </w:r>
      <w:proofErr w:type="gramEnd"/>
      <w:r w:rsidR="00100B6E">
        <w:rPr>
          <w:rFonts w:ascii="Calibri" w:hAnsi="Calibri"/>
        </w:rPr>
        <w:t xml:space="preserve"> a meghozott intézkedések, vagy újabbakra van szükség. Ezt az elemzést minden </w:t>
      </w:r>
      <w:r w:rsidR="00C053D5">
        <w:rPr>
          <w:rFonts w:ascii="Calibri" w:hAnsi="Calibri"/>
        </w:rPr>
        <w:t>kritikus tevékenység</w:t>
      </w:r>
      <w:r w:rsidR="00100B6E">
        <w:rPr>
          <w:rFonts w:ascii="Calibri" w:hAnsi="Calibri"/>
        </w:rPr>
        <w:t xml:space="preserve"> esetén el kell végezni, legyen az pl. beszállásos, magasban végzett vagy technológiai rend</w:t>
      </w:r>
      <w:r w:rsidR="00C053D5">
        <w:rPr>
          <w:rFonts w:ascii="Calibri" w:hAnsi="Calibri"/>
        </w:rPr>
        <w:t>szer megnyitásával járó munka. Kritikus munkafolyamatok esetén m</w:t>
      </w:r>
      <w:r w:rsidR="00100B6E">
        <w:rPr>
          <w:rFonts w:ascii="Calibri" w:hAnsi="Calibri"/>
        </w:rPr>
        <w:t>unkaengedélyt csak a munkafolyamat veszélyelemzés megléte ese</w:t>
      </w:r>
      <w:r w:rsidR="00C053D5">
        <w:rPr>
          <w:rFonts w:ascii="Calibri" w:hAnsi="Calibri"/>
        </w:rPr>
        <w:t xml:space="preserve">tén lehet kiadni, melyből egy példányt a munkaengedélyt kiadónak át kell adni. </w:t>
      </w:r>
      <w:r w:rsidR="00C053D5" w:rsidRPr="00C053D5">
        <w:rPr>
          <w:rFonts w:ascii="Calibri" w:hAnsi="Calibri"/>
        </w:rPr>
        <w:t>Természetesen</w:t>
      </w:r>
      <w:r w:rsidR="00C053D5">
        <w:rPr>
          <w:rFonts w:ascii="Calibri" w:hAnsi="Calibri"/>
        </w:rPr>
        <w:t xml:space="preserve">, </w:t>
      </w:r>
      <w:r w:rsidR="00100B6E">
        <w:rPr>
          <w:rFonts w:ascii="Calibri" w:hAnsi="Calibri"/>
        </w:rPr>
        <w:t xml:space="preserve">ha az adott </w:t>
      </w:r>
      <w:r w:rsidR="00C053D5">
        <w:rPr>
          <w:rFonts w:ascii="Calibri" w:hAnsi="Calibri"/>
        </w:rPr>
        <w:t xml:space="preserve">kritikus </w:t>
      </w:r>
      <w:r w:rsidR="00100B6E">
        <w:rPr>
          <w:rFonts w:ascii="Calibri" w:hAnsi="Calibri"/>
        </w:rPr>
        <w:t xml:space="preserve">tevékenységre van érvényes EBK terv vagy </w:t>
      </w:r>
      <w:r w:rsidR="00C053D5">
        <w:rPr>
          <w:rFonts w:ascii="Calibri" w:hAnsi="Calibri"/>
        </w:rPr>
        <w:t xml:space="preserve">kidolgozott </w:t>
      </w:r>
      <w:r w:rsidR="00100B6E">
        <w:rPr>
          <w:rFonts w:ascii="Calibri" w:hAnsi="Calibri"/>
        </w:rPr>
        <w:t xml:space="preserve">munkautasítás, amik magukba foglalják a munkafolyamat veszélyelemzést, akkor nem szükséges a veszélyelemzés újbóli elkészítése, elegendő az érvényes munkautasítás vagy EBK terv </w:t>
      </w:r>
      <w:r w:rsidR="00C053D5">
        <w:rPr>
          <w:rFonts w:ascii="Calibri" w:hAnsi="Calibri"/>
        </w:rPr>
        <w:t>bemutatása</w:t>
      </w:r>
      <w:r w:rsidR="00100B6E">
        <w:rPr>
          <w:rFonts w:ascii="Calibri" w:hAnsi="Calibri"/>
        </w:rPr>
        <w:t xml:space="preserve"> a munkaengedély kiadásához. </w:t>
      </w:r>
    </w:p>
    <w:p w:rsidR="00100B6E" w:rsidRDefault="00E560CC" w:rsidP="00100B6E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E40A07E" wp14:editId="105A0906">
            <wp:simplePos x="0" y="0"/>
            <wp:positionH relativeFrom="column">
              <wp:posOffset>2426970</wp:posOffset>
            </wp:positionH>
            <wp:positionV relativeFrom="paragraph">
              <wp:posOffset>1400175</wp:posOffset>
            </wp:positionV>
            <wp:extent cx="3359150" cy="219075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6918D969" wp14:editId="79596DC1">
            <wp:simplePos x="0" y="0"/>
            <wp:positionH relativeFrom="column">
              <wp:posOffset>4820920</wp:posOffset>
            </wp:positionH>
            <wp:positionV relativeFrom="paragraph">
              <wp:posOffset>47625</wp:posOffset>
            </wp:positionV>
            <wp:extent cx="868680" cy="1133475"/>
            <wp:effectExtent l="0" t="0" r="7620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ázat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6E">
        <w:t> </w:t>
      </w:r>
      <w:r w:rsidR="00100B6E">
        <w:rPr>
          <w:rFonts w:ascii="Calibri" w:hAnsi="Calibri"/>
          <w:b/>
          <w:bCs/>
          <w:u w:val="single"/>
        </w:rPr>
        <w:t xml:space="preserve">Munkavégzést közvetlenül megelőző kockázatértékelés (LMRA): </w:t>
      </w:r>
      <w:r w:rsidR="00100B6E">
        <w:rPr>
          <w:rFonts w:ascii="Calibri" w:hAnsi="Calibri"/>
        </w:rPr>
        <w:t xml:space="preserve">közvetlenül a munka megkezdése előtt, a helyszínen munkát végzők által elkészített értékelés, mely során meggyőződnek arról, hogy a tervezett munka a helyszíni adottságok, a létszám, a felkészültség, a munkaeszközök és a védőeszközök figyelembe vételével biztonságosan elvégezhető. Az LMRA a munkavégzés helyszínén a munkát végző munkavállalók teljes körű bevonásával (már az érvényes munkaengedély birtokában) készül el, mely folyamatot a vállalkozó helyszíni irányítója fogja össze. </w:t>
      </w:r>
      <w:proofErr w:type="spellStart"/>
      <w:r w:rsidR="00100B6E">
        <w:rPr>
          <w:rFonts w:ascii="Calibri" w:hAnsi="Calibri"/>
        </w:rPr>
        <w:t>LMRA-t</w:t>
      </w:r>
      <w:proofErr w:type="spellEnd"/>
      <w:r w:rsidR="00100B6E">
        <w:rPr>
          <w:rFonts w:ascii="Calibri" w:hAnsi="Calibri"/>
        </w:rPr>
        <w:t xml:space="preserve"> kell készíteni minden írásban (</w:t>
      </w:r>
      <w:proofErr w:type="spellStart"/>
      <w:r w:rsidR="00100B6E">
        <w:rPr>
          <w:rFonts w:ascii="Calibri" w:hAnsi="Calibri"/>
        </w:rPr>
        <w:t>MeFTIR-ből</w:t>
      </w:r>
      <w:proofErr w:type="spellEnd"/>
      <w:r w:rsidR="00100B6E">
        <w:rPr>
          <w:rFonts w:ascii="Calibri" w:hAnsi="Calibri"/>
        </w:rPr>
        <w:t xml:space="preserve"> vagy tömbből) kiadott munkaengedély mellé, melyet a munkaengedéllyel együtt a munkavégzés helyszínén kell tartani. Cél, hogy a munkavégzők a munkavégzés megkezdése előtt közösen felfrissítsék a munkafolyamat, az alkalmazott munkaeszközök és a munkakörnyezet jelentette veszélyeket és az azokra meghozott megelőző intézkedéseket, ismereteket. </w:t>
      </w:r>
    </w:p>
    <w:p w:rsidR="008B6340" w:rsidRDefault="008B6340">
      <w:r>
        <w:br w:type="page"/>
      </w:r>
    </w:p>
    <w:p w:rsidR="008B6340" w:rsidRDefault="008B6340" w:rsidP="00C85D58">
      <w:pPr>
        <w:widowControl w:val="0"/>
        <w:jc w:val="both"/>
      </w:pPr>
    </w:p>
    <w:p w:rsidR="00100B6E" w:rsidRPr="00100B6E" w:rsidRDefault="008B6340" w:rsidP="00C85D58">
      <w:pPr>
        <w:widowControl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6D4726E" wp14:editId="4F36E6C3">
            <wp:simplePos x="0" y="0"/>
            <wp:positionH relativeFrom="column">
              <wp:posOffset>3481705</wp:posOffset>
            </wp:positionH>
            <wp:positionV relativeFrom="paragraph">
              <wp:posOffset>2320290</wp:posOffset>
            </wp:positionV>
            <wp:extent cx="2226310" cy="1504950"/>
            <wp:effectExtent l="0" t="0" r="254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83FA9F9" wp14:editId="0D6874DA">
            <wp:simplePos x="0" y="0"/>
            <wp:positionH relativeFrom="column">
              <wp:posOffset>3481705</wp:posOffset>
            </wp:positionH>
            <wp:positionV relativeFrom="paragraph">
              <wp:posOffset>133985</wp:posOffset>
            </wp:positionV>
            <wp:extent cx="2228850" cy="2124075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6E">
        <w:t> </w:t>
      </w:r>
      <w:r w:rsidR="00E730B1">
        <w:rPr>
          <w:rFonts w:ascii="Calibri" w:hAnsi="Calibri"/>
          <w:b/>
          <w:bCs/>
          <w:u w:val="single"/>
        </w:rPr>
        <w:t>STOP CARD</w:t>
      </w:r>
      <w:r w:rsidR="00100B6E">
        <w:rPr>
          <w:rFonts w:ascii="Calibri" w:hAnsi="Calibri"/>
          <w:b/>
          <w:bCs/>
          <w:u w:val="single"/>
        </w:rPr>
        <w:t xml:space="preserve"> rendszer: </w:t>
      </w:r>
      <w:r w:rsidR="00100B6E">
        <w:rPr>
          <w:rFonts w:ascii="Calibri" w:hAnsi="Calibri"/>
        </w:rPr>
        <w:t xml:space="preserve">célja, hogy a </w:t>
      </w:r>
      <w:r w:rsidR="00C85D58">
        <w:rPr>
          <w:rFonts w:ascii="Calibri" w:hAnsi="Calibri"/>
        </w:rPr>
        <w:t>MOL csoport telephelyein munkát végző beszállítók munkavállalóinak</w:t>
      </w:r>
      <w:r w:rsidR="00100B6E">
        <w:rPr>
          <w:rFonts w:ascii="Calibri" w:hAnsi="Calibri"/>
        </w:rPr>
        <w:t xml:space="preserve"> is legyen lehetőségük beavatkozni és jelezni az olyan nem biztonságos cselekedeteket </w:t>
      </w:r>
      <w:r w:rsidRPr="00103146">
        <w:t xml:space="preserve">(pl.: védőeszközök használatának mellőzése, egyéb EBK szabályszegések) </w:t>
      </w:r>
      <w:r>
        <w:rPr>
          <w:rFonts w:ascii="Calibri" w:hAnsi="Calibri"/>
        </w:rPr>
        <w:t>vagy</w:t>
      </w:r>
      <w:r w:rsidR="00100B6E">
        <w:rPr>
          <w:rFonts w:ascii="Calibri" w:hAnsi="Calibri"/>
        </w:rPr>
        <w:t xml:space="preserve"> nem biztonságos körülményeket</w:t>
      </w:r>
      <w:r>
        <w:rPr>
          <w:rFonts w:ascii="Calibri" w:hAnsi="Calibri"/>
        </w:rPr>
        <w:t xml:space="preserve"> </w:t>
      </w:r>
      <w:r w:rsidRPr="00103146">
        <w:t>(pl.: magára hagyott nem körbekerített munkaárok)</w:t>
      </w:r>
      <w:r w:rsidR="00100B6E">
        <w:rPr>
          <w:rFonts w:ascii="Calibri" w:hAnsi="Calibri"/>
        </w:rPr>
        <w:t>, mely személyi sérüléssel is járhat, legyen az finomító</w:t>
      </w:r>
      <w:r w:rsidR="00C85D58">
        <w:rPr>
          <w:rFonts w:ascii="Calibri" w:hAnsi="Calibri"/>
        </w:rPr>
        <w:t>i</w:t>
      </w:r>
      <w:r w:rsidR="00100B6E">
        <w:rPr>
          <w:rFonts w:ascii="Calibri" w:hAnsi="Calibri"/>
        </w:rPr>
        <w:t>, gázüzem</w:t>
      </w:r>
      <w:r w:rsidR="00C85D58">
        <w:rPr>
          <w:rFonts w:ascii="Calibri" w:hAnsi="Calibri"/>
        </w:rPr>
        <w:t>i</w:t>
      </w:r>
      <w:r w:rsidR="00100B6E">
        <w:rPr>
          <w:rFonts w:ascii="Calibri" w:hAnsi="Calibri"/>
        </w:rPr>
        <w:t xml:space="preserve">, logisztikai telep vagy akár egy irodaház. A rendszer arra </w:t>
      </w:r>
      <w:r>
        <w:rPr>
          <w:rFonts w:ascii="Calibri" w:hAnsi="Calibri"/>
        </w:rPr>
        <w:t>ösztönzi</w:t>
      </w:r>
      <w:r w:rsidR="00100B6E">
        <w:rPr>
          <w:rFonts w:ascii="Calibri" w:hAnsi="Calibri"/>
        </w:rPr>
        <w:t xml:space="preserve"> a </w:t>
      </w:r>
      <w:r w:rsidR="00D63C28">
        <w:rPr>
          <w:rFonts w:ascii="Calibri" w:hAnsi="Calibri"/>
        </w:rPr>
        <w:t>beszállítók munkavállalóinak</w:t>
      </w:r>
      <w:r w:rsidR="00100B6E">
        <w:rPr>
          <w:rFonts w:ascii="Calibri" w:hAnsi="Calibri"/>
        </w:rPr>
        <w:t xml:space="preserve">, hogy ha </w:t>
      </w:r>
      <w:r w:rsidR="00D63C28">
        <w:rPr>
          <w:rFonts w:ascii="Calibri" w:hAnsi="Calibri"/>
        </w:rPr>
        <w:t xml:space="preserve">a MOL telephelyein </w:t>
      </w:r>
      <w:r w:rsidR="00100B6E">
        <w:rPr>
          <w:rFonts w:ascii="Calibri" w:hAnsi="Calibri"/>
        </w:rPr>
        <w:t xml:space="preserve">nem biztonságos munkavégzést vagy munkakörülményt látnak, akkor avatkozzanak be (jelezzék a nem megfelelőséget az érintettek </w:t>
      </w:r>
      <w:r>
        <w:rPr>
          <w:rFonts w:ascii="Calibri" w:hAnsi="Calibri"/>
        </w:rPr>
        <w:t xml:space="preserve">és az üzemi személyzet </w:t>
      </w:r>
      <w:r w:rsidR="00100B6E">
        <w:rPr>
          <w:rFonts w:ascii="Calibri" w:hAnsi="Calibri"/>
        </w:rPr>
        <w:t xml:space="preserve">felé) és adjanak egy rövid leírást – akár javaslatot - a megfigyelésről papír formátumban, ezzel is elősegítve a helyesbítést. </w:t>
      </w:r>
      <w:r>
        <w:rPr>
          <w:rFonts w:ascii="Calibri" w:hAnsi="Calibri"/>
        </w:rPr>
        <w:t xml:space="preserve">A </w:t>
      </w:r>
      <w:r w:rsidR="00E730B1">
        <w:rPr>
          <w:rFonts w:ascii="Calibri" w:hAnsi="Calibri"/>
        </w:rPr>
        <w:t xml:space="preserve">STOP </w:t>
      </w:r>
      <w:proofErr w:type="spellStart"/>
      <w:r w:rsidR="00E730B1">
        <w:rPr>
          <w:rFonts w:ascii="Calibri" w:hAnsi="Calibri"/>
        </w:rPr>
        <w:t>CARD</w:t>
      </w:r>
      <w:r>
        <w:rPr>
          <w:rFonts w:ascii="Calibri" w:hAnsi="Calibri"/>
        </w:rPr>
        <w:t>-ok</w:t>
      </w:r>
      <w:proofErr w:type="spellEnd"/>
      <w:r>
        <w:rPr>
          <w:rFonts w:ascii="Calibri" w:hAnsi="Calibri"/>
        </w:rPr>
        <w:t xml:space="preserve"> gyűjtésére minden állandó személyzettel rendelkező telephelyen kerülnek kihelyezésre gyűjtő ládák, melyek mellett nyomtatott formátumú kártyákat is megtalálhatók.</w:t>
      </w:r>
    </w:p>
    <w:p w:rsidR="00FD3915" w:rsidRDefault="00FD3915" w:rsidP="00C35016">
      <w:pPr>
        <w:spacing w:after="0"/>
        <w:jc w:val="both"/>
      </w:pPr>
    </w:p>
    <w:p w:rsidR="00B734F6" w:rsidRPr="00C053D5" w:rsidRDefault="00C053D5" w:rsidP="00C35016">
      <w:pPr>
        <w:spacing w:after="0"/>
        <w:jc w:val="both"/>
        <w:rPr>
          <w:sz w:val="24"/>
          <w:szCs w:val="24"/>
        </w:rPr>
      </w:pPr>
      <w:r w:rsidRPr="00C053D5">
        <w:rPr>
          <w:sz w:val="24"/>
          <w:szCs w:val="24"/>
        </w:rPr>
        <w:t xml:space="preserve">A fenti programokról részletes oktatási anyag, letölthető nyomtatványok és kitöltött minta nyomtatványok érhetők el </w:t>
      </w:r>
      <w:r w:rsidR="00D662E1" w:rsidRPr="00C053D5">
        <w:rPr>
          <w:sz w:val="24"/>
          <w:szCs w:val="24"/>
        </w:rPr>
        <w:t xml:space="preserve">a </w:t>
      </w:r>
      <w:hyperlink r:id="rId12" w:history="1">
        <w:r w:rsidR="004F4FC2" w:rsidRPr="00392ADE">
          <w:rPr>
            <w:rStyle w:val="Hiperhivatkozs"/>
          </w:rPr>
          <w:t>http://mol.hu/hu/molrol/beszallitoi-kozpont#jsa-lmra-stop-card-program</w:t>
        </w:r>
      </w:hyperlink>
      <w:r w:rsidR="004F4FC2">
        <w:t xml:space="preserve"> </w:t>
      </w:r>
      <w:r w:rsidRPr="00C053D5">
        <w:rPr>
          <w:sz w:val="24"/>
          <w:szCs w:val="24"/>
        </w:rPr>
        <w:t>linken</w:t>
      </w:r>
      <w:r w:rsidR="00D662E1" w:rsidRPr="00C053D5">
        <w:rPr>
          <w:sz w:val="24"/>
          <w:szCs w:val="24"/>
        </w:rPr>
        <w:t>.</w:t>
      </w:r>
      <w:r w:rsidR="00D87CEF">
        <w:rPr>
          <w:sz w:val="24"/>
          <w:szCs w:val="24"/>
        </w:rPr>
        <w:t xml:space="preserve"> Kérjük, h</w:t>
      </w:r>
      <w:r w:rsidR="008C3A6B">
        <w:rPr>
          <w:sz w:val="24"/>
          <w:szCs w:val="24"/>
        </w:rPr>
        <w:t>ogy minden olyan munkavállaló számára</w:t>
      </w:r>
      <w:r w:rsidR="00972701">
        <w:rPr>
          <w:sz w:val="24"/>
          <w:szCs w:val="24"/>
        </w:rPr>
        <w:t>,</w:t>
      </w:r>
      <w:r w:rsidR="008C3A6B">
        <w:rPr>
          <w:sz w:val="24"/>
          <w:szCs w:val="24"/>
        </w:rPr>
        <w:t xml:space="preserve"> aki a MOL csoport telephelyein kíván a jövőben munkát végezni biz</w:t>
      </w:r>
      <w:bookmarkStart w:id="0" w:name="_GoBack"/>
      <w:bookmarkEnd w:id="0"/>
      <w:r w:rsidR="008C3A6B">
        <w:rPr>
          <w:sz w:val="24"/>
          <w:szCs w:val="24"/>
        </w:rPr>
        <w:t xml:space="preserve">tosítsák a lehetőséget, hogy megismerje </w:t>
      </w:r>
      <w:r w:rsidR="008C3A6B">
        <w:rPr>
          <w:b/>
        </w:rPr>
        <w:t xml:space="preserve">a </w:t>
      </w:r>
      <w:r w:rsidR="008C3A6B" w:rsidRPr="00C43DEA">
        <w:t>Munkafolyamat veszélyelemzés</w:t>
      </w:r>
      <w:r w:rsidR="008C3A6B">
        <w:rPr>
          <w:b/>
        </w:rPr>
        <w:t xml:space="preserve"> (JSA), a </w:t>
      </w:r>
      <w:r w:rsidR="008C3A6B" w:rsidRPr="00C43DEA">
        <w:t>Munkavégzést közvetlenül megelőző kockázatértékelést</w:t>
      </w:r>
      <w:r w:rsidR="008C3A6B">
        <w:rPr>
          <w:b/>
        </w:rPr>
        <w:t xml:space="preserve"> (LMRA) </w:t>
      </w:r>
      <w:r w:rsidR="008C3A6B" w:rsidRPr="00C43DEA">
        <w:t>és a</w:t>
      </w:r>
      <w:r w:rsidR="008C3A6B">
        <w:rPr>
          <w:b/>
        </w:rPr>
        <w:t xml:space="preserve"> </w:t>
      </w:r>
      <w:r w:rsidR="00E730B1">
        <w:rPr>
          <w:b/>
        </w:rPr>
        <w:t>STOP CARD</w:t>
      </w:r>
      <w:r w:rsidR="008C3A6B">
        <w:rPr>
          <w:b/>
        </w:rPr>
        <w:t xml:space="preserve"> </w:t>
      </w:r>
      <w:r w:rsidR="008C3A6B" w:rsidRPr="008C3A6B">
        <w:t>rendszert</w:t>
      </w:r>
      <w:r w:rsidR="00972701">
        <w:t xml:space="preserve"> és követeljék meg azok szükség szerinti alkalmazását</w:t>
      </w:r>
      <w:r w:rsidR="008C3A6B">
        <w:rPr>
          <w:sz w:val="24"/>
          <w:szCs w:val="24"/>
        </w:rPr>
        <w:t>!</w:t>
      </w:r>
    </w:p>
    <w:p w:rsidR="00D662E1" w:rsidRPr="00C053D5" w:rsidRDefault="00D662E1" w:rsidP="00C35016">
      <w:pPr>
        <w:spacing w:after="0"/>
        <w:jc w:val="both"/>
        <w:rPr>
          <w:sz w:val="24"/>
          <w:szCs w:val="24"/>
        </w:rPr>
      </w:pPr>
    </w:p>
    <w:p w:rsidR="00C85D58" w:rsidRPr="00972701" w:rsidRDefault="00C85D58" w:rsidP="00C85D58">
      <w:pPr>
        <w:widowControl w:val="0"/>
        <w:jc w:val="center"/>
        <w:rPr>
          <w:rFonts w:ascii="Calibri" w:hAnsi="Calibri"/>
          <w:b/>
          <w:i/>
          <w:sz w:val="24"/>
          <w:szCs w:val="24"/>
        </w:rPr>
      </w:pPr>
      <w:r w:rsidRPr="00972701">
        <w:rPr>
          <w:rFonts w:ascii="Calibri" w:hAnsi="Calibri"/>
          <w:b/>
          <w:i/>
          <w:sz w:val="24"/>
          <w:szCs w:val="24"/>
        </w:rPr>
        <w:t>Számítunk minden Beszállítónk hatékony közreműködésére annak érdekében, hogy megelőzzük a személyi sérüléssel járó baleseteket és együtt még biztonságosabb munkakörnyezetet tudjunk teremteni a MOL- csoport telephelyein munkát végző minden munkavállaló számára.</w:t>
      </w:r>
    </w:p>
    <w:p w:rsidR="00FA4B4A" w:rsidRPr="00C053D5" w:rsidRDefault="00FA4B4A" w:rsidP="00C35016">
      <w:pPr>
        <w:spacing w:after="0"/>
        <w:jc w:val="both"/>
        <w:rPr>
          <w:sz w:val="24"/>
          <w:szCs w:val="24"/>
        </w:rPr>
      </w:pPr>
    </w:p>
    <w:p w:rsidR="00FA4B4A" w:rsidRPr="00C053D5" w:rsidRDefault="00FA4B4A" w:rsidP="00FA4B4A">
      <w:pPr>
        <w:spacing w:after="0"/>
        <w:ind w:left="2832" w:firstLine="708"/>
        <w:jc w:val="both"/>
        <w:rPr>
          <w:sz w:val="24"/>
          <w:szCs w:val="24"/>
        </w:rPr>
      </w:pPr>
      <w:r w:rsidRPr="00C053D5">
        <w:rPr>
          <w:sz w:val="24"/>
          <w:szCs w:val="24"/>
        </w:rPr>
        <w:t>Üdvözlettel:</w:t>
      </w:r>
    </w:p>
    <w:p w:rsidR="00FA4B4A" w:rsidRPr="00C053D5" w:rsidRDefault="00FA4B4A" w:rsidP="00FA4B4A">
      <w:pPr>
        <w:spacing w:after="0"/>
        <w:ind w:left="2832" w:firstLine="708"/>
        <w:jc w:val="both"/>
        <w:rPr>
          <w:sz w:val="24"/>
          <w:szCs w:val="24"/>
        </w:rPr>
      </w:pPr>
    </w:p>
    <w:p w:rsidR="00FA4B4A" w:rsidRPr="00C053D5" w:rsidRDefault="00FA4B4A" w:rsidP="00FA4B4A">
      <w:pPr>
        <w:spacing w:after="0"/>
        <w:ind w:left="2832" w:firstLine="708"/>
        <w:jc w:val="both"/>
        <w:rPr>
          <w:sz w:val="24"/>
          <w:szCs w:val="24"/>
        </w:rPr>
      </w:pPr>
    </w:p>
    <w:p w:rsidR="00FA4B4A" w:rsidRPr="00C053D5" w:rsidRDefault="00FA4B4A" w:rsidP="00FA4B4A">
      <w:pPr>
        <w:spacing w:after="0"/>
        <w:ind w:left="2832" w:firstLine="708"/>
        <w:jc w:val="both"/>
        <w:rPr>
          <w:sz w:val="24"/>
          <w:szCs w:val="24"/>
        </w:rPr>
      </w:pPr>
      <w:r w:rsidRPr="00C053D5">
        <w:rPr>
          <w:sz w:val="24"/>
          <w:szCs w:val="24"/>
        </w:rPr>
        <w:tab/>
      </w:r>
      <w:r w:rsidRPr="00C053D5">
        <w:rPr>
          <w:sz w:val="24"/>
          <w:szCs w:val="24"/>
        </w:rPr>
        <w:tab/>
      </w:r>
      <w:r w:rsidRPr="00C053D5">
        <w:rPr>
          <w:sz w:val="24"/>
          <w:szCs w:val="24"/>
        </w:rPr>
        <w:tab/>
        <w:t>FF és EBK MOL</w:t>
      </w:r>
    </w:p>
    <w:sectPr w:rsidR="00FA4B4A" w:rsidRPr="00C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AE"/>
    <w:multiLevelType w:val="hybridMultilevel"/>
    <w:tmpl w:val="FC5E5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183"/>
    <w:multiLevelType w:val="hybridMultilevel"/>
    <w:tmpl w:val="EF2E3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0C3E"/>
    <w:multiLevelType w:val="hybridMultilevel"/>
    <w:tmpl w:val="9FEA6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1DF1"/>
    <w:multiLevelType w:val="hybridMultilevel"/>
    <w:tmpl w:val="A544B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21"/>
    <w:rsid w:val="00027E41"/>
    <w:rsid w:val="00100B6E"/>
    <w:rsid w:val="00103146"/>
    <w:rsid w:val="0010717F"/>
    <w:rsid w:val="001372DE"/>
    <w:rsid w:val="0021369E"/>
    <w:rsid w:val="002635C4"/>
    <w:rsid w:val="002958E6"/>
    <w:rsid w:val="002D04FF"/>
    <w:rsid w:val="00347424"/>
    <w:rsid w:val="00392FE6"/>
    <w:rsid w:val="00394AA7"/>
    <w:rsid w:val="003A0791"/>
    <w:rsid w:val="003B5021"/>
    <w:rsid w:val="00440AF2"/>
    <w:rsid w:val="004C3FEF"/>
    <w:rsid w:val="004C5564"/>
    <w:rsid w:val="004F0069"/>
    <w:rsid w:val="004F2784"/>
    <w:rsid w:val="004F4FC2"/>
    <w:rsid w:val="005C2077"/>
    <w:rsid w:val="005D73F0"/>
    <w:rsid w:val="006A2E23"/>
    <w:rsid w:val="006F1BB9"/>
    <w:rsid w:val="00706AC9"/>
    <w:rsid w:val="00792714"/>
    <w:rsid w:val="007B2DED"/>
    <w:rsid w:val="008B6340"/>
    <w:rsid w:val="008C3A6B"/>
    <w:rsid w:val="00961423"/>
    <w:rsid w:val="00972701"/>
    <w:rsid w:val="00992D4D"/>
    <w:rsid w:val="00A2579F"/>
    <w:rsid w:val="00A33E5E"/>
    <w:rsid w:val="00AA5CE8"/>
    <w:rsid w:val="00AC08B1"/>
    <w:rsid w:val="00B716D1"/>
    <w:rsid w:val="00B734F6"/>
    <w:rsid w:val="00BD062E"/>
    <w:rsid w:val="00BF15E3"/>
    <w:rsid w:val="00C053D5"/>
    <w:rsid w:val="00C34966"/>
    <w:rsid w:val="00C35016"/>
    <w:rsid w:val="00C43DEA"/>
    <w:rsid w:val="00C85D58"/>
    <w:rsid w:val="00CD3D49"/>
    <w:rsid w:val="00D63C28"/>
    <w:rsid w:val="00D662E1"/>
    <w:rsid w:val="00D87CEF"/>
    <w:rsid w:val="00D917C4"/>
    <w:rsid w:val="00DB2F3A"/>
    <w:rsid w:val="00DB3222"/>
    <w:rsid w:val="00DE359B"/>
    <w:rsid w:val="00DE5CAE"/>
    <w:rsid w:val="00E17293"/>
    <w:rsid w:val="00E560CC"/>
    <w:rsid w:val="00E56736"/>
    <w:rsid w:val="00E730B1"/>
    <w:rsid w:val="00FA4B4A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7E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A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6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7E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A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6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mol.hu/hu/molrol/beszallitoi-kozpont#jsa-lmra-stop-card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.hu/hu/molrol/beszallitoi-kozpont#jsa-lmra-stop-card-progra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 Tibor</dc:creator>
  <cp:lastModifiedBy>Ádám Tibor</cp:lastModifiedBy>
  <cp:revision>16</cp:revision>
  <dcterms:created xsi:type="dcterms:W3CDTF">2015-04-01T13:50:00Z</dcterms:created>
  <dcterms:modified xsi:type="dcterms:W3CDTF">2015-04-02T12:27:00Z</dcterms:modified>
</cp:coreProperties>
</file>